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0A" w:rsidRDefault="00491D0A" w:rsidP="00491D0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36A7E26">
            <wp:extent cx="1536381" cy="10242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81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D0A" w:rsidRDefault="00491D0A">
      <w:pPr>
        <w:rPr>
          <w:rFonts w:ascii="Calibri" w:eastAsia="Calibri" w:hAnsi="Calibri" w:cs="Calibri"/>
        </w:rPr>
      </w:pPr>
    </w:p>
    <w:p w:rsidR="00491D0A" w:rsidRDefault="00491D0A">
      <w:pPr>
        <w:rPr>
          <w:rFonts w:ascii="Calibri" w:eastAsia="Calibri" w:hAnsi="Calibri" w:cs="Calibri"/>
        </w:rPr>
      </w:pPr>
    </w:p>
    <w:p w:rsidR="00491D0A" w:rsidRDefault="00491D0A">
      <w:pPr>
        <w:rPr>
          <w:rFonts w:ascii="Calibri" w:eastAsia="Calibri" w:hAnsi="Calibri" w:cs="Calibri"/>
        </w:rPr>
      </w:pPr>
    </w:p>
    <w:p w:rsidR="004820F4" w:rsidRDefault="0028323E">
      <w:pPr>
        <w:rPr>
          <w:rFonts w:ascii="Calibri" w:eastAsia="Calibri" w:hAnsi="Calibri" w:cs="Calibri"/>
        </w:rPr>
      </w:pPr>
      <w:r w:rsidRPr="0028323E">
        <w:rPr>
          <w:rFonts w:ascii="Calibri" w:eastAsia="Calibri" w:hAnsi="Calibri" w:cs="Calibri"/>
        </w:rPr>
        <w:t>We are committed to providing the best care possible for our residents by working together with providers, staff, residents and their families. In order to maintain a high standard of care, we want to share w</w:t>
      </w:r>
      <w:r w:rsidR="00A15DE1">
        <w:rPr>
          <w:rFonts w:ascii="Calibri" w:eastAsia="Calibri" w:hAnsi="Calibri" w:cs="Calibri"/>
        </w:rPr>
        <w:t xml:space="preserve">ith you information regarding an </w:t>
      </w:r>
      <w:bookmarkStart w:id="0" w:name="_GoBack"/>
      <w:bookmarkEnd w:id="0"/>
      <w:r w:rsidR="00F73176">
        <w:rPr>
          <w:rFonts w:ascii="Calibri" w:eastAsia="Calibri" w:hAnsi="Calibri" w:cs="Calibri"/>
        </w:rPr>
        <w:t>initiative</w:t>
      </w:r>
      <w:r w:rsidR="00A15DE1">
        <w:rPr>
          <w:rFonts w:ascii="Calibri" w:eastAsia="Calibri" w:hAnsi="Calibri" w:cs="Calibri"/>
        </w:rPr>
        <w:t xml:space="preserve"> </w:t>
      </w:r>
      <w:r w:rsidRPr="0028323E">
        <w:rPr>
          <w:rFonts w:ascii="Calibri" w:eastAsia="Calibri" w:hAnsi="Calibri" w:cs="Calibri"/>
        </w:rPr>
        <w:t>our facility is involved with in regards to the diagnosis and treatment of Urinary Tract Infections (UTIs).</w:t>
      </w:r>
    </w:p>
    <w:p w:rsidR="0028323E" w:rsidRDefault="0028323E">
      <w:pPr>
        <w:rPr>
          <w:rFonts w:ascii="Calibri" w:eastAsia="Calibri" w:hAnsi="Calibri" w:cs="Calibri"/>
        </w:rPr>
      </w:pPr>
    </w:p>
    <w:p w:rsidR="00E77417" w:rsidRPr="00E77417" w:rsidRDefault="00A15DE1" w:rsidP="00E77417">
      <w:pPr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We are in the process of implementing the</w:t>
      </w:r>
      <w:r w:rsidR="00E77417">
        <w:rPr>
          <w:rFonts w:ascii="Calibri" w:eastAsia="Calibri" w:hAnsi="Calibri"/>
          <w:spacing w:val="-1"/>
        </w:rPr>
        <w:t xml:space="preserve"> </w:t>
      </w:r>
      <w:r w:rsidR="00E77417" w:rsidRPr="00E77417">
        <w:rPr>
          <w:rFonts w:ascii="Calibri" w:eastAsia="Calibri" w:hAnsi="Calibri"/>
          <w:spacing w:val="-1"/>
        </w:rPr>
        <w:t xml:space="preserve">Wisconsin UTI Improvement Toolkit </w:t>
      </w:r>
      <w:r w:rsidR="007E69B2">
        <w:rPr>
          <w:rFonts w:ascii="Calibri" w:eastAsia="Calibri" w:hAnsi="Calibri"/>
          <w:spacing w:val="-1"/>
        </w:rPr>
        <w:t>d</w:t>
      </w:r>
      <w:r w:rsidR="00E77417" w:rsidRPr="00E77417">
        <w:rPr>
          <w:rFonts w:ascii="Calibri" w:eastAsia="Calibri" w:hAnsi="Calibri"/>
          <w:spacing w:val="-1"/>
        </w:rPr>
        <w:t>eveloped by the Wisconsin Healthcare-Associated Infecti</w:t>
      </w:r>
      <w:r w:rsidR="007E69B2">
        <w:rPr>
          <w:rFonts w:ascii="Calibri" w:eastAsia="Calibri" w:hAnsi="Calibri"/>
          <w:spacing w:val="-1"/>
        </w:rPr>
        <w:t>ons in Long-Term Care Coalition.  T</w:t>
      </w:r>
      <w:r w:rsidR="00E77417" w:rsidRPr="00E77417">
        <w:rPr>
          <w:rFonts w:ascii="Calibri" w:eastAsia="Calibri" w:hAnsi="Calibri"/>
          <w:spacing w:val="-1"/>
        </w:rPr>
        <w:t xml:space="preserve">he objectives of the Wisconsin UTI Improvement Toolkit are to help long-term care facilities: </w:t>
      </w:r>
    </w:p>
    <w:p w:rsidR="00E77417" w:rsidRPr="0028323E" w:rsidRDefault="00E77417" w:rsidP="0028323E">
      <w:pPr>
        <w:pStyle w:val="ListParagraph"/>
        <w:numPr>
          <w:ilvl w:val="0"/>
          <w:numId w:val="3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>Standardize the assessment and communication of findings in residents experiencing a change-in-condition where UTI is suspected.</w:t>
      </w:r>
    </w:p>
    <w:p w:rsidR="00E77417" w:rsidRPr="0028323E" w:rsidRDefault="00E77417" w:rsidP="0028323E">
      <w:pPr>
        <w:pStyle w:val="ListParagraph"/>
        <w:numPr>
          <w:ilvl w:val="0"/>
          <w:numId w:val="3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>Promote the use of active monitoring and delay of urine testing and antibiotic treatment among residents where the risk of UTI is low.</w:t>
      </w:r>
    </w:p>
    <w:p w:rsidR="004820F4" w:rsidRPr="0028323E" w:rsidRDefault="00E77417" w:rsidP="0028323E">
      <w:pPr>
        <w:pStyle w:val="ListParagraph"/>
        <w:numPr>
          <w:ilvl w:val="0"/>
          <w:numId w:val="3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>Promote the appropriate use of antibiotics (drug, dose, duration) in residents where the risk of UTI is high.</w:t>
      </w:r>
    </w:p>
    <w:p w:rsidR="007E69B2" w:rsidRDefault="007E69B2" w:rsidP="007E69B2">
      <w:pPr>
        <w:ind w:firstLine="120"/>
        <w:rPr>
          <w:rFonts w:ascii="Calibri" w:eastAsia="Calibri" w:hAnsi="Calibri"/>
          <w:spacing w:val="-1"/>
        </w:rPr>
      </w:pPr>
    </w:p>
    <w:p w:rsidR="007E69B2" w:rsidRDefault="007E69B2" w:rsidP="0028323E">
      <w:pPr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This toolkit is now available on the Clinical Resourc</w:t>
      </w:r>
      <w:r w:rsidR="0028323E">
        <w:rPr>
          <w:rFonts w:ascii="Calibri" w:eastAsia="Calibri" w:hAnsi="Calibri"/>
          <w:spacing w:val="-1"/>
        </w:rPr>
        <w:t xml:space="preserve">e Center website </w:t>
      </w:r>
      <w:hyperlink r:id="rId7" w:history="1">
        <w:r w:rsidRPr="00611160">
          <w:rPr>
            <w:rStyle w:val="Hyperlink"/>
            <w:rFonts w:ascii="Calibri" w:eastAsia="Calibri" w:hAnsi="Calibri"/>
            <w:spacing w:val="-1"/>
          </w:rPr>
          <w:t>https://crc.chsra.wisc.edu/</w:t>
        </w:r>
      </w:hyperlink>
    </w:p>
    <w:p w:rsidR="0028323E" w:rsidRDefault="00952E1C" w:rsidP="007E69B2">
      <w:pPr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Your participation in</w:t>
      </w:r>
      <w:r w:rsidR="007E69B2">
        <w:rPr>
          <w:rFonts w:ascii="Calibri" w:eastAsia="Calibri" w:hAnsi="Calibri"/>
          <w:spacing w:val="-1"/>
        </w:rPr>
        <w:t xml:space="preserve"> this antibiotic stewardship effort is vital to ensure success. In order to best prepare yourself </w:t>
      </w:r>
      <w:r w:rsidR="0028323E">
        <w:rPr>
          <w:rFonts w:ascii="Calibri" w:eastAsia="Calibri" w:hAnsi="Calibri"/>
          <w:spacing w:val="-1"/>
        </w:rPr>
        <w:t xml:space="preserve">for participation in this project, </w:t>
      </w:r>
      <w:r w:rsidR="007E69B2">
        <w:rPr>
          <w:rFonts w:ascii="Calibri" w:eastAsia="Calibri" w:hAnsi="Calibri"/>
          <w:spacing w:val="-1"/>
        </w:rPr>
        <w:t xml:space="preserve">it will be helpful to review the toolkit and resources available. In particular, </w:t>
      </w:r>
      <w:r w:rsidR="0028323E">
        <w:rPr>
          <w:rFonts w:ascii="Calibri" w:eastAsia="Calibri" w:hAnsi="Calibri"/>
          <w:spacing w:val="-1"/>
        </w:rPr>
        <w:t>the following portions of the toolkit are targeted to providers:</w:t>
      </w:r>
    </w:p>
    <w:p w:rsidR="0028323E" w:rsidRDefault="0028323E" w:rsidP="0028323E">
      <w:pPr>
        <w:pStyle w:val="ListParagraph"/>
        <w:numPr>
          <w:ilvl w:val="0"/>
          <w:numId w:val="2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>Module 1: Overview and Rational</w:t>
      </w:r>
      <w:r>
        <w:rPr>
          <w:rFonts w:ascii="Calibri" w:eastAsia="Calibri" w:hAnsi="Calibri"/>
          <w:spacing w:val="-1"/>
        </w:rPr>
        <w:t xml:space="preserve">e </w:t>
      </w:r>
    </w:p>
    <w:p w:rsidR="0028323E" w:rsidRPr="0028323E" w:rsidRDefault="0028323E" w:rsidP="0028323E">
      <w:pPr>
        <w:pStyle w:val="ListParagraph"/>
        <w:numPr>
          <w:ilvl w:val="0"/>
          <w:numId w:val="2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>Staff and Provider Infographic</w:t>
      </w:r>
    </w:p>
    <w:p w:rsidR="0028323E" w:rsidRPr="0028323E" w:rsidRDefault="007E69B2" w:rsidP="0028323E">
      <w:pPr>
        <w:pStyle w:val="ListParagraph"/>
        <w:numPr>
          <w:ilvl w:val="0"/>
          <w:numId w:val="2"/>
        </w:numPr>
        <w:rPr>
          <w:rFonts w:ascii="Calibri" w:eastAsia="Calibri" w:hAnsi="Calibri"/>
          <w:spacing w:val="-1"/>
        </w:rPr>
      </w:pPr>
      <w:r w:rsidRPr="0028323E">
        <w:rPr>
          <w:rFonts w:ascii="Calibri" w:eastAsia="Calibri" w:hAnsi="Calibri"/>
          <w:spacing w:val="-1"/>
        </w:rPr>
        <w:t xml:space="preserve">Module </w:t>
      </w:r>
      <w:r w:rsidR="0082312C" w:rsidRPr="0028323E">
        <w:rPr>
          <w:rFonts w:ascii="Calibri" w:eastAsia="Calibri" w:hAnsi="Calibri"/>
          <w:spacing w:val="-1"/>
        </w:rPr>
        <w:t xml:space="preserve">4: When and How to Treat a UTI </w:t>
      </w:r>
      <w:r w:rsidR="0028323E" w:rsidRPr="0028323E">
        <w:rPr>
          <w:rFonts w:ascii="Calibri" w:eastAsia="Calibri" w:hAnsi="Calibri"/>
          <w:spacing w:val="-1"/>
        </w:rPr>
        <w:t xml:space="preserve">as well as the </w:t>
      </w:r>
    </w:p>
    <w:p w:rsidR="0028323E" w:rsidRPr="0028323E" w:rsidRDefault="0028323E" w:rsidP="0028323E">
      <w:pPr>
        <w:pStyle w:val="ListParagraph"/>
        <w:numPr>
          <w:ilvl w:val="0"/>
          <w:numId w:val="2"/>
        </w:numPr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Provider Prescribing Brochure</w:t>
      </w:r>
    </w:p>
    <w:p w:rsidR="004820F4" w:rsidRDefault="008E400E" w:rsidP="0028323E">
      <w:pPr>
        <w:pStyle w:val="BodyText"/>
        <w:spacing w:before="181"/>
        <w:ind w:left="0" w:right="156"/>
      </w:pPr>
      <w:r>
        <w:rPr>
          <w:spacing w:val="-1"/>
        </w:rP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explanation.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happy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81"/>
          <w:w w:val="99"/>
        </w:rPr>
        <w:t xml:space="preserve"> </w:t>
      </w:r>
      <w:r>
        <w:rPr>
          <w:spacing w:val="-1"/>
        </w:rPr>
        <w:t>have,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encourage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 w:rsidR="0028323E">
        <w:rPr>
          <w:spacing w:val="-1"/>
        </w:rPr>
        <w:t xml:space="preserve"> for our residents</w:t>
      </w:r>
      <w:r>
        <w:rPr>
          <w:spacing w:val="-1"/>
        </w:rPr>
        <w:t>.</w:t>
      </w:r>
    </w:p>
    <w:sectPr w:rsidR="004820F4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298"/>
    <w:multiLevelType w:val="hybridMultilevel"/>
    <w:tmpl w:val="F238DB3C"/>
    <w:lvl w:ilvl="0" w:tplc="461E629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30282C4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3FF4C470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A6B03306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566EF9C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CD060E96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F3D6F3C8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C0CE26AC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E676EF74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747D36ED"/>
    <w:multiLevelType w:val="hybridMultilevel"/>
    <w:tmpl w:val="9F68EC9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8E63D8"/>
    <w:multiLevelType w:val="hybridMultilevel"/>
    <w:tmpl w:val="E636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F4"/>
    <w:rsid w:val="0028323E"/>
    <w:rsid w:val="002D127C"/>
    <w:rsid w:val="004820F4"/>
    <w:rsid w:val="00491D0A"/>
    <w:rsid w:val="007E69B2"/>
    <w:rsid w:val="0082312C"/>
    <w:rsid w:val="008E400E"/>
    <w:rsid w:val="00952E1C"/>
    <w:rsid w:val="00A15DE1"/>
    <w:rsid w:val="00BE4C5A"/>
    <w:rsid w:val="00E77417"/>
    <w:rsid w:val="00F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D6EAF-5DEC-4C86-BD52-CCBCCB39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9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c.chsra.wis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F56A-9488-4D54-B0D1-30E35C77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CHSRA  U.W. - Madison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 EWERS</dc:creator>
  <cp:lastModifiedBy>Jennifer Robinson</cp:lastModifiedBy>
  <cp:revision>5</cp:revision>
  <dcterms:created xsi:type="dcterms:W3CDTF">2019-06-10T17:01:00Z</dcterms:created>
  <dcterms:modified xsi:type="dcterms:W3CDTF">2019-06-18T16:33:00Z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2019-05-31T00:00:00Z</vt:filetime>
  </property>
</Properties>
</file>